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sz w:val="28"/>
          <w:szCs w:val="28"/>
        </w:rPr>
      </w:pPr>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pPr>
        <w:jc w:val="center"/>
        <w:rPr>
          <w:rFonts w:hint="eastAsia" w:ascii="宋体" w:hAnsi="宋体" w:eastAsia="宋体" w:cs="宋体"/>
          <w:b/>
          <w:bCs/>
          <w:color w:val="000000"/>
          <w:sz w:val="36"/>
          <w:szCs w:val="36"/>
        </w:rPr>
      </w:pPr>
      <w:r>
        <w:rPr>
          <w:rFonts w:hint="eastAsia" w:ascii="宋体" w:hAnsi="宋体" w:eastAsia="宋体" w:cs="宋体"/>
          <w:b/>
          <w:bCs/>
          <w:color w:val="000000"/>
          <w:kern w:val="0"/>
          <w:sz w:val="36"/>
          <w:szCs w:val="36"/>
        </w:rPr>
        <w:t>申领工亡职工待遇“打包一件事”</w:t>
      </w:r>
      <w:r>
        <w:rPr>
          <w:rFonts w:hint="eastAsia" w:ascii="宋体" w:hAnsi="宋体" w:eastAsia="宋体" w:cs="宋体"/>
          <w:b/>
          <w:bCs/>
          <w:color w:val="000000"/>
          <w:sz w:val="36"/>
          <w:szCs w:val="36"/>
        </w:rPr>
        <w:t>服务指南</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一、适用范围</w:t>
      </w:r>
    </w:p>
    <w:p>
      <w:pPr>
        <w:spacing w:line="360" w:lineRule="auto"/>
        <w:ind w:firstLine="640" w:firstLineChars="200"/>
        <w:rPr>
          <w:rFonts w:ascii="仿宋" w:hAnsi="仿宋" w:eastAsia="仿宋" w:cs="仿宋"/>
          <w:color w:val="FF0000"/>
          <w:sz w:val="32"/>
          <w:szCs w:val="32"/>
        </w:rPr>
      </w:pPr>
      <w:r>
        <w:rPr>
          <w:rFonts w:hint="eastAsia" w:ascii="仿宋" w:hAnsi="仿宋" w:eastAsia="仿宋" w:cs="仿宋"/>
          <w:sz w:val="32"/>
          <w:szCs w:val="32"/>
        </w:rPr>
        <w:t>（一）涉及的事项：工伤（亡）建档登记、一次性工亡补助金、丧葬补助金、供养亲属资格确认、供养亲属抚恤金；工伤医疗（康复）费用申报、住院期间伙食补助费申报、赴统筹地区外就医申请、经批准赴统筹地区外就医交通食宿费及市内交通补贴；关联事项：工伤保险待遇发放账户维护。</w:t>
      </w:r>
    </w:p>
    <w:p>
      <w:pPr>
        <w:spacing w:line="360" w:lineRule="auto"/>
        <w:ind w:firstLine="640" w:firstLineChars="200"/>
        <w:rPr>
          <w:rFonts w:ascii="仿宋" w:hAnsi="仿宋" w:eastAsia="仿宋" w:cs="仿宋"/>
          <w:color w:val="FF0000"/>
          <w:sz w:val="32"/>
          <w:szCs w:val="32"/>
        </w:rPr>
      </w:pPr>
      <w:r>
        <w:rPr>
          <w:rFonts w:hint="eastAsia" w:ascii="仿宋" w:hAnsi="仿宋" w:eastAsia="仿宋" w:cs="仿宋"/>
          <w:sz w:val="32"/>
          <w:szCs w:val="32"/>
        </w:rPr>
        <w:t>（二）“打包一件事”事项范围：参保单位通过单位网厅、</w:t>
      </w:r>
      <w:r>
        <w:rPr>
          <w:rFonts w:hint="eastAsia" w:ascii="仿宋_GB2312" w:hAnsi="仿宋" w:eastAsia="仿宋_GB2312"/>
          <w:sz w:val="32"/>
          <w:szCs w:val="32"/>
        </w:rPr>
        <w:t>社</w:t>
      </w:r>
      <w:r>
        <w:rPr>
          <w:rFonts w:hint="eastAsia" w:ascii="仿宋_GB2312" w:hAnsi="仿宋" w:eastAsia="仿宋_GB2312"/>
          <w:sz w:val="32"/>
          <w:szCs w:val="32"/>
          <w:lang w:val="en-US" w:eastAsia="zh-CN"/>
        </w:rPr>
        <w:t>会</w:t>
      </w:r>
      <w:r>
        <w:rPr>
          <w:rFonts w:hint="eastAsia" w:ascii="仿宋" w:hAnsi="仿宋" w:eastAsia="仿宋" w:cs="仿宋"/>
          <w:sz w:val="32"/>
          <w:szCs w:val="32"/>
          <w:lang w:val="en-US" w:eastAsia="zh-CN"/>
        </w:rPr>
        <w:t>保险（工伤）</w:t>
      </w:r>
      <w:r>
        <w:rPr>
          <w:rFonts w:hint="eastAsia" w:ascii="仿宋" w:hAnsi="仿宋" w:eastAsia="仿宋" w:cs="仿宋"/>
          <w:sz w:val="32"/>
          <w:szCs w:val="32"/>
        </w:rPr>
        <w:t>经办机构大厅办理工伤</w:t>
      </w:r>
      <w:r>
        <w:rPr>
          <w:rFonts w:hint="eastAsia" w:ascii="仿宋" w:hAnsi="仿宋" w:eastAsia="仿宋" w:cs="仿宋"/>
          <w:sz w:val="32"/>
          <w:szCs w:val="32"/>
          <w:highlight w:val="none"/>
          <w:lang w:eastAsia="zh-CN"/>
        </w:rPr>
        <w:t>建档</w:t>
      </w:r>
      <w:r>
        <w:rPr>
          <w:rFonts w:hint="eastAsia" w:ascii="仿宋" w:hAnsi="仿宋" w:eastAsia="仿宋" w:cs="仿宋"/>
          <w:sz w:val="32"/>
          <w:szCs w:val="32"/>
        </w:rPr>
        <w:t>登记（含用人单位办理</w:t>
      </w:r>
      <w:r>
        <w:rPr>
          <w:rFonts w:hint="eastAsia" w:ascii="仿宋" w:hAnsi="仿宋" w:eastAsia="仿宋" w:cs="仿宋"/>
          <w:sz w:val="32"/>
          <w:szCs w:val="32"/>
          <w:lang w:eastAsia="zh-CN"/>
        </w:rPr>
        <w:t>变更</w:t>
      </w:r>
      <w:r>
        <w:rPr>
          <w:rFonts w:hint="eastAsia" w:ascii="仿宋" w:hAnsi="仿宋" w:eastAsia="仿宋" w:cs="仿宋"/>
          <w:sz w:val="32"/>
          <w:szCs w:val="32"/>
        </w:rPr>
        <w:t>工伤登记）、工伤医疗费用申报（含工伤医疗</w:t>
      </w:r>
      <w:r>
        <w:rPr>
          <w:rFonts w:hint="eastAsia" w:ascii="仿宋" w:hAnsi="仿宋" w:eastAsia="仿宋" w:cs="仿宋"/>
          <w:sz w:val="32"/>
          <w:szCs w:val="32"/>
          <w:lang w:eastAsia="zh-CN"/>
        </w:rPr>
        <w:t>、</w:t>
      </w:r>
      <w:r>
        <w:rPr>
          <w:rFonts w:hint="eastAsia" w:ascii="仿宋" w:hAnsi="仿宋" w:eastAsia="仿宋" w:cs="仿宋"/>
          <w:sz w:val="32"/>
          <w:szCs w:val="32"/>
        </w:rPr>
        <w:t>康复费用申报；住院伙食补助费申领；统筹地区以外交通、食宿费申领）、一次性及长期待遇申领（含一次性工亡补助金、丧葬补助金申领；供养亲属抚恤金申领）、工伤保险待遇发放账户维护申请。</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（三）适用对象：</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职工死亡被认定为工伤或视同工伤的；工伤职工在停工留薪期内因工伤导致死亡的；一级至四级工伤职工停工留薪期满后死亡的；职工因工外出期间发生事故或者在抢险救灾中下落不明被人民法院宣告死亡可视情况打包办理。工亡职工救治期间、住院治疗期间和生前经批准赴统筹地区外就医并产生工伤医疗费用的。</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二、事项办理类型</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sz w:val="32"/>
          <w:szCs w:val="32"/>
        </w:rPr>
        <w:t>事项类型：公共服务</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（一）</w:t>
      </w:r>
      <w:r>
        <w:rPr>
          <w:rFonts w:hint="eastAsia" w:ascii="仿宋" w:hAnsi="仿宋" w:eastAsia="仿宋" w:cs="仿宋"/>
          <w:sz w:val="32"/>
          <w:szCs w:val="32"/>
        </w:rPr>
        <w:t>工伤（亡）建档登记。</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 xml:space="preserve">（二）一次性工亡补助金、丧葬补助金申领。 </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 xml:space="preserve">（三）供养亲属资格审核、供养亲属抚恤金申领。 </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（四）</w:t>
      </w:r>
      <w:r>
        <w:rPr>
          <w:rFonts w:hint="eastAsia" w:ascii="仿宋" w:hAnsi="仿宋" w:eastAsia="仿宋" w:cs="仿宋"/>
          <w:sz w:val="32"/>
          <w:szCs w:val="32"/>
        </w:rPr>
        <w:t>工伤医疗（康复）费用申报、住院期间伙食补助费申领、经批准赴统筹地区外就医交通食宿费及市内交通补贴申报。</w:t>
      </w:r>
      <w:r>
        <w:rPr>
          <w:rFonts w:hint="eastAsia" w:ascii="仿宋" w:hAnsi="仿宋" w:eastAsia="仿宋" w:cs="仿宋"/>
          <w:color w:val="000000"/>
          <w:sz w:val="32"/>
          <w:szCs w:val="32"/>
        </w:rPr>
        <w:t xml:space="preserve"> </w:t>
      </w:r>
    </w:p>
    <w:p>
      <w:pPr>
        <w:tabs>
          <w:tab w:val="left" w:pos="220"/>
        </w:tabs>
        <w:spacing w:line="360" w:lineRule="auto"/>
        <w:ind w:left="638" w:leftChars="304"/>
        <w:jc w:val="left"/>
        <w:rPr>
          <w:rFonts w:ascii="仿宋" w:hAnsi="仿宋" w:eastAsia="仿宋" w:cs="仿宋"/>
          <w:sz w:val="32"/>
          <w:szCs w:val="32"/>
        </w:rPr>
      </w:pPr>
      <w:r>
        <w:rPr>
          <w:rFonts w:hint="eastAsia" w:ascii="仿宋" w:hAnsi="仿宋" w:eastAsia="仿宋" w:cs="仿宋"/>
          <w:sz w:val="32"/>
          <w:szCs w:val="32"/>
        </w:rPr>
        <w:t xml:space="preserve">（五）工伤保险待遇发放账户维护（关联事项）。 </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三、实施依据</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（一）《中华人民共和国社会保险法》第四章第三十三条至四十三条；</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（二）《工伤保险条例》（中华人民共和国国务院令第586号）；</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 xml:space="preserve">（三）《河南省工伤保险条例》； </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（四）《河南省人力资源和社会保障厅 河南省财政厅 关于河南省机关公务员和参照公务员法管理的事业单位工作人员参加工伤保险有关问题的通知》（豫人社办[2015]25号）；</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（五）《因工死亡职工供养亲属范围规定》（中华人民共和国劳动和社会保障部令第18号）；</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（六）《河南省人力资源和社会保障厅关于工伤保险若干问题的意见》（豫人社工伤[2012]15号）；</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（七）《人力资源和社会保障部关于执行&lt;工伤保险条例&gt;若干问题的意见》（人社部发[2013]34号）；</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（八）《人力资源和社会保障部关于执行&lt;工伤保险条例&gt;若干问题的意见（二）》（人社部发[2016]29号）；</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（九）中华人民共和国社会保障部《关于实施&lt;工伤保险条例&gt;若干问题的意见》（劳社部函[2004]256号）；</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（十）《实施&lt;中华人民共和国社会保险法&gt;若干规定》（中华人民共和国人力资源和社会保障部令第13号）；</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（十一）《河南省人力资源和社会保障厅关于1-4级老工伤人员有关待遇的处理意见》（豫人社工伤[2015]12号）；</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（十二）《河南省人力资源和社会保障厅关于转发人社部发[2012]11号文件印发工伤保险经办规程的通知》（豫人社工伤[2012]3号）；</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（十三）《河南省人力资源和社会保障厅 河南省财政厅关于印发&lt;河南省工伤保险省级统筹实施意见&gt;的通知》（豫人社[2018]44号）；</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（十四）《河南省人力资源和社会保障厅关于印发&lt;河南省工伤职工停工留薪期管理办法&gt;的通知》（豫人社工伤[2016]8号）。</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（十五）</w:t>
      </w:r>
      <w:r>
        <w:rPr>
          <w:rFonts w:hint="eastAsia" w:ascii="华文仿宋" w:hAnsi="华文仿宋" w:eastAsia="华文仿宋" w:cs="华文仿宋"/>
          <w:color w:val="000000"/>
          <w:sz w:val="32"/>
          <w:szCs w:val="32"/>
          <w:lang w:eastAsia="zh-CN"/>
        </w:rPr>
        <w:t>《河南省社会保险业务经办规程（暂行）》（豫人社办〔2021〕9号）。</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四、受理机构</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受理机构包括：省、市、县（区）社保经办机构，人力资源和社会保障部门授权的其他服务机构。</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五、决定机构</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省、市、县（区）人力资源社会保障部门或经办机构。</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六、数量限制</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无</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七、申请条件</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参保职工死亡被社会保险行政部门认定为工伤或视同工伤的；</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工伤职工在停工留薪期内因工伤导致死亡的；</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一级至四级工伤职工停工留薪期满后死亡的。</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八、禁止性要求</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无</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九、申请材料目录</w:t>
      </w:r>
    </w:p>
    <w:p>
      <w:pPr>
        <w:spacing w:line="360" w:lineRule="auto"/>
        <w:ind w:firstLine="640" w:firstLineChars="200"/>
        <w:rPr>
          <w:rFonts w:ascii="仿宋" w:hAnsi="仿宋" w:eastAsia="仿宋" w:cs="宋体"/>
          <w:sz w:val="32"/>
          <w:szCs w:val="32"/>
        </w:rPr>
      </w:pPr>
      <w:r>
        <w:rPr>
          <w:rFonts w:hint="eastAsia" w:ascii="仿宋" w:hAnsi="仿宋" w:eastAsia="仿宋" w:cs="仿宋"/>
          <w:color w:val="000000"/>
          <w:sz w:val="32"/>
          <w:szCs w:val="32"/>
        </w:rPr>
        <w:t>（一）</w:t>
      </w:r>
      <w:r>
        <w:rPr>
          <w:rFonts w:hint="eastAsia" w:ascii="仿宋" w:hAnsi="仿宋" w:eastAsia="仿宋" w:cs="仿宋"/>
          <w:sz w:val="32"/>
          <w:szCs w:val="32"/>
        </w:rPr>
        <w:t>工伤（亡）建档登记：工伤认定</w:t>
      </w:r>
      <w:r>
        <w:rPr>
          <w:rFonts w:hint="eastAsia" w:ascii="仿宋" w:hAnsi="仿宋" w:eastAsia="仿宋" w:cs="仿宋"/>
          <w:sz w:val="32"/>
          <w:szCs w:val="32"/>
          <w:lang w:val="en-US" w:eastAsia="zh-CN"/>
        </w:rPr>
        <w:t>书</w:t>
      </w:r>
      <w:r>
        <w:rPr>
          <w:rFonts w:hint="eastAsia" w:ascii="仿宋" w:hAnsi="仿宋" w:eastAsia="仿宋" w:cs="仿宋"/>
          <w:sz w:val="32"/>
          <w:szCs w:val="32"/>
        </w:rPr>
        <w:t>（</w:t>
      </w:r>
      <w:r>
        <w:rPr>
          <w:rFonts w:hint="eastAsia" w:ascii="仿宋" w:hAnsi="仿宋" w:eastAsia="仿宋" w:cs="仿宋"/>
          <w:sz w:val="32"/>
          <w:szCs w:val="32"/>
          <w:lang w:eastAsia="zh-CN"/>
        </w:rPr>
        <w:t>信息共享获取；无法实现共享的暂由</w:t>
      </w:r>
      <w:r>
        <w:rPr>
          <w:rFonts w:hint="eastAsia" w:ascii="仿宋" w:hAnsi="仿宋" w:eastAsia="仿宋" w:cs="仿宋"/>
          <w:sz w:val="32"/>
          <w:szCs w:val="32"/>
        </w:rPr>
        <w:t>用人单位提供</w:t>
      </w:r>
      <w:r>
        <w:rPr>
          <w:rFonts w:hint="eastAsia" w:ascii="仿宋" w:hAnsi="仿宋" w:eastAsia="仿宋" w:cs="宋体"/>
          <w:sz w:val="32"/>
          <w:szCs w:val="32"/>
        </w:rPr>
        <w:t>）。</w:t>
      </w:r>
    </w:p>
    <w:p>
      <w:pPr>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（二）一次性工亡补助金申领：</w:t>
      </w:r>
    </w:p>
    <w:p>
      <w:pPr>
        <w:ind w:firstLine="640" w:firstLineChars="200"/>
        <w:rPr>
          <w:rFonts w:ascii="仿宋" w:hAnsi="仿宋" w:eastAsia="仿宋" w:cs="宋体"/>
          <w:sz w:val="32"/>
          <w:szCs w:val="32"/>
        </w:rPr>
      </w:pPr>
      <w:r>
        <w:rPr>
          <w:rFonts w:ascii="仿宋" w:hAnsi="仿宋" w:eastAsia="仿宋" w:cs="宋体"/>
          <w:sz w:val="32"/>
          <w:szCs w:val="32"/>
        </w:rPr>
        <w:t>1</w:t>
      </w:r>
      <w:r>
        <w:rPr>
          <w:rFonts w:hint="eastAsia" w:ascii="仿宋" w:hAnsi="仿宋" w:eastAsia="仿宋" w:cs="宋体"/>
          <w:sz w:val="32"/>
          <w:szCs w:val="32"/>
        </w:rPr>
        <w:t>、《工伤（亡）职工待遇申请表》；</w:t>
      </w:r>
    </w:p>
    <w:p>
      <w:pPr>
        <w:ind w:firstLine="640" w:firstLineChars="200"/>
        <w:rPr>
          <w:rFonts w:hint="eastAsia" w:ascii="仿宋" w:hAnsi="仿宋" w:eastAsia="仿宋" w:cs="宋体"/>
          <w:sz w:val="32"/>
          <w:szCs w:val="32"/>
          <w:lang w:eastAsia="zh-CN"/>
        </w:rPr>
      </w:pPr>
      <w:r>
        <w:rPr>
          <w:rFonts w:ascii="仿宋" w:hAnsi="仿宋" w:eastAsia="仿宋" w:cs="宋体"/>
          <w:sz w:val="32"/>
          <w:szCs w:val="32"/>
        </w:rPr>
        <w:t>2</w:t>
      </w:r>
      <w:r>
        <w:rPr>
          <w:rFonts w:hint="eastAsia" w:ascii="仿宋" w:hAnsi="仿宋" w:eastAsia="仿宋" w:cs="宋体"/>
          <w:sz w:val="32"/>
          <w:szCs w:val="32"/>
        </w:rPr>
        <w:t>、属于停工留薪期内因工伤死亡的，由用人单位提供停工留薪期审批意见</w:t>
      </w:r>
      <w:r>
        <w:rPr>
          <w:rFonts w:hint="eastAsia" w:ascii="仿宋" w:hAnsi="仿宋" w:eastAsia="仿宋" w:cs="宋体"/>
          <w:sz w:val="32"/>
          <w:szCs w:val="32"/>
          <w:lang w:eastAsia="zh-CN"/>
        </w:rPr>
        <w:t>。</w:t>
      </w:r>
    </w:p>
    <w:p>
      <w:pPr>
        <w:spacing w:line="360" w:lineRule="auto"/>
        <w:ind w:firstLine="640" w:firstLineChars="200"/>
        <w:rPr>
          <w:rFonts w:ascii="仿宋" w:hAnsi="仿宋" w:eastAsia="仿宋" w:cs="宋体"/>
          <w:sz w:val="32"/>
          <w:szCs w:val="32"/>
        </w:rPr>
      </w:pPr>
      <w:r>
        <w:rPr>
          <w:rFonts w:hint="eastAsia" w:ascii="仿宋" w:hAnsi="仿宋" w:eastAsia="仿宋" w:cs="宋体"/>
          <w:sz w:val="32"/>
          <w:szCs w:val="32"/>
        </w:rPr>
        <w:t>（三）丧葬补助金申领，用人单位核实丧葬方式。</w:t>
      </w:r>
    </w:p>
    <w:p>
      <w:pPr>
        <w:ind w:firstLine="640" w:firstLineChars="200"/>
        <w:rPr>
          <w:rFonts w:ascii="仿宋" w:hAnsi="仿宋" w:eastAsia="仿宋" w:cs="宋体"/>
          <w:sz w:val="32"/>
          <w:szCs w:val="32"/>
        </w:rPr>
      </w:pPr>
      <w:r>
        <w:rPr>
          <w:rFonts w:hint="eastAsia" w:ascii="仿宋" w:hAnsi="仿宋" w:eastAsia="仿宋" w:cs="宋体"/>
          <w:sz w:val="32"/>
          <w:szCs w:val="32"/>
        </w:rPr>
        <w:t>（四）供养亲属资格确认：</w:t>
      </w:r>
    </w:p>
    <w:p>
      <w:pPr>
        <w:ind w:firstLine="640" w:firstLineChars="200"/>
        <w:rPr>
          <w:rFonts w:ascii="仿宋" w:hAnsi="仿宋" w:eastAsia="仿宋" w:cs="宋体"/>
          <w:sz w:val="32"/>
          <w:szCs w:val="32"/>
        </w:rPr>
      </w:pPr>
      <w:r>
        <w:rPr>
          <w:rFonts w:ascii="仿宋" w:hAnsi="仿宋" w:eastAsia="仿宋" w:cs="宋体"/>
          <w:sz w:val="32"/>
          <w:szCs w:val="32"/>
        </w:rPr>
        <w:t>1</w:t>
      </w:r>
      <w:r>
        <w:rPr>
          <w:rFonts w:hint="eastAsia" w:ascii="仿宋" w:hAnsi="仿宋" w:eastAsia="仿宋" w:cs="宋体"/>
          <w:sz w:val="32"/>
          <w:szCs w:val="32"/>
        </w:rPr>
        <w:t>、供养人社会保障卡或居民身份证；</w:t>
      </w:r>
    </w:p>
    <w:p>
      <w:pPr>
        <w:ind w:firstLine="640" w:firstLineChars="200"/>
        <w:rPr>
          <w:rFonts w:hint="eastAsia" w:ascii="仿宋" w:hAnsi="仿宋" w:eastAsia="仿宋" w:cs="宋体"/>
          <w:sz w:val="32"/>
          <w:szCs w:val="32"/>
          <w:lang w:eastAsia="zh-CN"/>
        </w:rPr>
      </w:pPr>
      <w:r>
        <w:rPr>
          <w:rFonts w:ascii="仿宋" w:hAnsi="仿宋" w:eastAsia="仿宋" w:cs="宋体"/>
          <w:sz w:val="32"/>
          <w:szCs w:val="32"/>
        </w:rPr>
        <w:t>2</w:t>
      </w:r>
      <w:r>
        <w:rPr>
          <w:rFonts w:hint="eastAsia" w:ascii="仿宋" w:hAnsi="仿宋" w:eastAsia="仿宋" w:cs="宋体"/>
          <w:sz w:val="32"/>
          <w:szCs w:val="32"/>
        </w:rPr>
        <w:t>、能够证明直系亲属关系的户口簿、出生证明或公证机关、司法机关出具的公证书（未实现数据共享前需提供，实现数据共享后无需提供）</w:t>
      </w:r>
      <w:r>
        <w:rPr>
          <w:rFonts w:hint="eastAsia" w:ascii="仿宋" w:hAnsi="仿宋" w:eastAsia="仿宋" w:cs="宋体"/>
          <w:sz w:val="32"/>
          <w:szCs w:val="32"/>
          <w:lang w:eastAsia="zh-CN"/>
        </w:rPr>
        <w:t>；</w:t>
      </w:r>
    </w:p>
    <w:p>
      <w:pPr>
        <w:ind w:firstLine="640" w:firstLineChars="200"/>
        <w:rPr>
          <w:rFonts w:hint="eastAsia" w:ascii="仿宋" w:hAnsi="仿宋" w:eastAsia="仿宋" w:cs="宋体"/>
          <w:sz w:val="32"/>
          <w:szCs w:val="32"/>
          <w:lang w:eastAsia="zh-CN"/>
        </w:rPr>
      </w:pPr>
      <w:r>
        <w:rPr>
          <w:rFonts w:ascii="仿宋" w:hAnsi="仿宋" w:eastAsia="仿宋" w:cs="宋体"/>
          <w:sz w:val="32"/>
          <w:szCs w:val="32"/>
        </w:rPr>
        <w:t>3</w:t>
      </w:r>
      <w:r>
        <w:rPr>
          <w:rFonts w:hint="eastAsia" w:ascii="仿宋" w:hAnsi="仿宋" w:eastAsia="仿宋" w:cs="宋体"/>
          <w:sz w:val="32"/>
          <w:szCs w:val="32"/>
        </w:rPr>
        <w:t>、供养人签订《供养亲属抚恤金申领承诺书》，按供养人</w:t>
      </w:r>
      <w:r>
        <w:rPr>
          <w:rFonts w:hint="eastAsia" w:ascii="仿宋" w:hAnsi="仿宋" w:eastAsia="仿宋" w:cs="宋体"/>
          <w:sz w:val="32"/>
          <w:szCs w:val="32"/>
          <w:lang w:eastAsia="zh-CN"/>
        </w:rPr>
        <w:t>每人</w:t>
      </w:r>
      <w:r>
        <w:rPr>
          <w:rFonts w:hint="eastAsia" w:ascii="仿宋" w:hAnsi="仿宋" w:eastAsia="仿宋" w:cs="宋体"/>
          <w:sz w:val="32"/>
          <w:szCs w:val="32"/>
          <w:lang w:val="en-US" w:eastAsia="zh-CN"/>
        </w:rPr>
        <w:t>1份</w:t>
      </w:r>
      <w:r>
        <w:rPr>
          <w:rFonts w:hint="eastAsia" w:ascii="仿宋" w:hAnsi="仿宋" w:eastAsia="仿宋" w:cs="宋体"/>
          <w:sz w:val="32"/>
          <w:szCs w:val="32"/>
        </w:rPr>
        <w:t>（无民事能力的或文盲，可由法定监护人或直系亲属代签）</w:t>
      </w:r>
      <w:r>
        <w:rPr>
          <w:rFonts w:hint="eastAsia" w:ascii="仿宋" w:hAnsi="仿宋" w:eastAsia="仿宋" w:cs="宋体"/>
          <w:sz w:val="32"/>
          <w:szCs w:val="32"/>
          <w:lang w:eastAsia="zh-CN"/>
        </w:rPr>
        <w:t>；</w:t>
      </w:r>
    </w:p>
    <w:p>
      <w:pPr>
        <w:ind w:firstLine="640" w:firstLineChars="200"/>
        <w:rPr>
          <w:rFonts w:hint="eastAsia" w:ascii="仿宋" w:hAnsi="仿宋" w:eastAsia="仿宋" w:cs="宋体"/>
          <w:sz w:val="32"/>
          <w:szCs w:val="32"/>
          <w:lang w:eastAsia="zh-CN"/>
        </w:rPr>
      </w:pPr>
      <w:r>
        <w:rPr>
          <w:rFonts w:ascii="仿宋" w:hAnsi="仿宋" w:eastAsia="仿宋" w:cs="宋体"/>
          <w:sz w:val="32"/>
          <w:szCs w:val="32"/>
        </w:rPr>
        <w:t>4</w:t>
      </w:r>
      <w:r>
        <w:rPr>
          <w:rFonts w:hint="eastAsia" w:ascii="仿宋" w:hAnsi="仿宋" w:eastAsia="仿宋" w:cs="宋体"/>
          <w:sz w:val="32"/>
          <w:szCs w:val="32"/>
        </w:rPr>
        <w:t>、供养亲属为孤寡老人或孤儿的，需提供民政部门的证明</w:t>
      </w:r>
      <w:r>
        <w:rPr>
          <w:rFonts w:hint="eastAsia" w:ascii="仿宋" w:hAnsi="仿宋" w:eastAsia="仿宋" w:cs="宋体"/>
          <w:sz w:val="32"/>
          <w:szCs w:val="32"/>
          <w:lang w:eastAsia="zh-CN"/>
        </w:rPr>
        <w:t>；</w:t>
      </w:r>
    </w:p>
    <w:p>
      <w:pPr>
        <w:spacing w:line="360" w:lineRule="auto"/>
        <w:ind w:firstLine="640" w:firstLineChars="200"/>
        <w:rPr>
          <w:rFonts w:hint="default" w:eastAsia="仿宋"/>
          <w:lang w:val="en-US" w:eastAsia="zh-CN"/>
        </w:rPr>
      </w:pPr>
      <w:r>
        <w:rPr>
          <w:rFonts w:hint="eastAsia" w:ascii="仿宋" w:hAnsi="仿宋" w:eastAsia="仿宋" w:cs="宋体"/>
          <w:sz w:val="32"/>
          <w:szCs w:val="32"/>
          <w:lang w:val="en-US" w:eastAsia="zh-CN"/>
        </w:rPr>
        <w:t>5、</w:t>
      </w:r>
      <w:r>
        <w:rPr>
          <w:rFonts w:hint="eastAsia" w:ascii="仿宋" w:hAnsi="仿宋" w:eastAsia="仿宋" w:cs="宋体"/>
          <w:kern w:val="2"/>
          <w:sz w:val="32"/>
          <w:szCs w:val="32"/>
          <w:lang w:val="en-US" w:eastAsia="zh-CN" w:bidi="ar-SA"/>
        </w:rPr>
        <w:t>供养亲属完全丧失劳动能力的需要提供丧失劳动能力鉴定结论</w:t>
      </w:r>
      <w:r>
        <w:rPr>
          <w:rFonts w:hint="eastAsia" w:ascii="仿宋" w:hAnsi="仿宋" w:eastAsia="仿宋" w:cs="仿宋"/>
          <w:sz w:val="32"/>
          <w:szCs w:val="32"/>
        </w:rPr>
        <w:t>（</w:t>
      </w:r>
      <w:r>
        <w:rPr>
          <w:rFonts w:hint="eastAsia" w:ascii="仿宋" w:hAnsi="仿宋" w:eastAsia="仿宋" w:cs="仿宋"/>
          <w:sz w:val="32"/>
          <w:szCs w:val="32"/>
          <w:lang w:eastAsia="zh-CN"/>
        </w:rPr>
        <w:t>信息共享获取；无法实现共享的暂由</w:t>
      </w:r>
      <w:r>
        <w:rPr>
          <w:rFonts w:hint="eastAsia" w:ascii="仿宋" w:hAnsi="仿宋" w:eastAsia="仿宋" w:cs="仿宋"/>
          <w:sz w:val="32"/>
          <w:szCs w:val="32"/>
        </w:rPr>
        <w:t>用人单位提供</w:t>
      </w:r>
      <w:r>
        <w:rPr>
          <w:rFonts w:hint="eastAsia" w:ascii="仿宋" w:hAnsi="仿宋" w:eastAsia="仿宋" w:cs="宋体"/>
          <w:sz w:val="32"/>
          <w:szCs w:val="32"/>
        </w:rPr>
        <w:t>）。</w:t>
      </w:r>
    </w:p>
    <w:p>
      <w:pPr>
        <w:spacing w:line="360" w:lineRule="auto"/>
        <w:ind w:firstLine="640" w:firstLineChars="200"/>
        <w:rPr>
          <w:rFonts w:ascii="仿宋" w:hAnsi="仿宋" w:eastAsia="仿宋" w:cs="仿宋"/>
          <w:sz w:val="32"/>
          <w:szCs w:val="32"/>
        </w:rPr>
      </w:pPr>
      <w:r>
        <w:rPr>
          <w:rFonts w:hint="eastAsia" w:ascii="仿宋" w:hAnsi="仿宋" w:eastAsia="仿宋" w:cs="宋体"/>
          <w:sz w:val="32"/>
          <w:szCs w:val="32"/>
        </w:rPr>
        <w:t>（五）工伤医疗（康复）费用申领、住院期间伙食补助费申</w:t>
      </w:r>
      <w:r>
        <w:rPr>
          <w:rFonts w:hint="eastAsia" w:ascii="仿宋" w:hAnsi="仿宋" w:eastAsia="仿宋" w:cs="仿宋"/>
          <w:sz w:val="32"/>
          <w:szCs w:val="32"/>
        </w:rPr>
        <w:t>领、经批准赴统筹地区外就医交通食宿费及市内交通补贴申领。提供以下材料：</w:t>
      </w:r>
    </w:p>
    <w:p>
      <w:pPr>
        <w:tabs>
          <w:tab w:val="left" w:pos="0"/>
        </w:tabs>
        <w:adjustRightInd w:val="0"/>
        <w:snapToGrid w:val="0"/>
        <w:spacing w:line="360" w:lineRule="auto"/>
        <w:ind w:firstLine="640" w:firstLineChars="200"/>
        <w:outlineLvl w:val="3"/>
        <w:rPr>
          <w:rFonts w:ascii="仿宋" w:hAnsi="仿宋" w:eastAsia="仿宋" w:cs="仿宋"/>
          <w:sz w:val="32"/>
          <w:szCs w:val="32"/>
        </w:rPr>
      </w:pPr>
      <w:r>
        <w:rPr>
          <w:rFonts w:hint="eastAsia" w:ascii="仿宋" w:hAnsi="仿宋" w:eastAsia="仿宋" w:cs="仿宋"/>
          <w:sz w:val="32"/>
          <w:szCs w:val="32"/>
        </w:rPr>
        <w:t>1、工伤职工的医疗（康复）票据原件和病历、费用清单、</w:t>
      </w:r>
    </w:p>
    <w:p>
      <w:pPr>
        <w:tabs>
          <w:tab w:val="left" w:pos="0"/>
        </w:tabs>
        <w:adjustRightInd w:val="0"/>
        <w:snapToGrid w:val="0"/>
        <w:spacing w:line="360" w:lineRule="auto"/>
        <w:outlineLvl w:val="3"/>
        <w:rPr>
          <w:rFonts w:ascii="仿宋" w:hAnsi="仿宋" w:eastAsia="仿宋" w:cs="仿宋"/>
          <w:sz w:val="32"/>
          <w:szCs w:val="32"/>
        </w:rPr>
      </w:pPr>
      <w:r>
        <w:rPr>
          <w:rFonts w:hint="eastAsia" w:ascii="仿宋" w:hAnsi="仿宋" w:eastAsia="仿宋" w:cs="仿宋"/>
          <w:sz w:val="32"/>
          <w:szCs w:val="32"/>
        </w:rPr>
        <w:t>处方及检查报告复印件；</w:t>
      </w:r>
    </w:p>
    <w:p>
      <w:pPr>
        <w:numPr>
          <w:ilvl w:val="0"/>
          <w:numId w:val="2"/>
        </w:numPr>
        <w:tabs>
          <w:tab w:val="left" w:pos="0"/>
        </w:tabs>
        <w:adjustRightInd w:val="0"/>
        <w:snapToGrid w:val="0"/>
        <w:spacing w:line="360" w:lineRule="auto"/>
        <w:ind w:left="420" w:leftChars="200" w:firstLine="320" w:firstLineChars="100"/>
        <w:outlineLvl w:val="3"/>
        <w:rPr>
          <w:rFonts w:ascii="仿宋" w:hAnsi="仿宋" w:eastAsia="仿宋" w:cs="仿宋"/>
          <w:sz w:val="32"/>
          <w:szCs w:val="32"/>
        </w:rPr>
      </w:pPr>
      <w:r>
        <w:rPr>
          <w:rFonts w:hint="eastAsia" w:ascii="仿宋" w:hAnsi="仿宋" w:eastAsia="仿宋" w:cs="仿宋"/>
          <w:sz w:val="32"/>
          <w:szCs w:val="32"/>
        </w:rPr>
        <w:t>批准到统筹地区以外就医的工伤职工，需提供交通、</w:t>
      </w:r>
    </w:p>
    <w:p>
      <w:pPr>
        <w:tabs>
          <w:tab w:val="left" w:pos="0"/>
        </w:tabs>
        <w:adjustRightInd w:val="0"/>
        <w:snapToGrid w:val="0"/>
        <w:spacing w:line="360" w:lineRule="auto"/>
        <w:outlineLvl w:val="3"/>
        <w:rPr>
          <w:rFonts w:ascii="仿宋" w:hAnsi="仿宋" w:eastAsia="仿宋" w:cs="仿宋"/>
          <w:sz w:val="32"/>
          <w:szCs w:val="32"/>
        </w:rPr>
      </w:pPr>
      <w:r>
        <w:rPr>
          <w:rFonts w:hint="eastAsia" w:ascii="仿宋" w:hAnsi="仿宋" w:eastAsia="仿宋" w:cs="仿宋"/>
          <w:sz w:val="32"/>
          <w:szCs w:val="32"/>
        </w:rPr>
        <w:t>食宿费票据原件；</w:t>
      </w:r>
    </w:p>
    <w:p>
      <w:pPr>
        <w:numPr>
          <w:ilvl w:val="0"/>
          <w:numId w:val="2"/>
        </w:numPr>
        <w:tabs>
          <w:tab w:val="left" w:pos="0"/>
        </w:tabs>
        <w:adjustRightInd w:val="0"/>
        <w:snapToGrid w:val="0"/>
        <w:spacing w:line="360" w:lineRule="auto"/>
        <w:ind w:left="420" w:leftChars="200" w:firstLine="320" w:firstLineChars="100"/>
        <w:outlineLvl w:val="3"/>
        <w:rPr>
          <w:rFonts w:ascii="仿宋" w:hAnsi="仿宋" w:eastAsia="仿宋" w:cs="仿宋"/>
          <w:sz w:val="32"/>
          <w:szCs w:val="32"/>
        </w:rPr>
      </w:pPr>
      <w:r>
        <w:rPr>
          <w:rFonts w:hint="eastAsia" w:ascii="仿宋" w:hAnsi="仿宋" w:eastAsia="仿宋" w:cs="仿宋"/>
          <w:sz w:val="32"/>
          <w:szCs w:val="32"/>
        </w:rPr>
        <w:t>涉及第三方责任的还需提供民事伤害赔偿法律文书。</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六）</w:t>
      </w:r>
      <w:r>
        <w:rPr>
          <w:rFonts w:hint="eastAsia" w:ascii="仿宋" w:hAnsi="仿宋" w:eastAsia="仿宋" w:cs="仿宋"/>
          <w:sz w:val="32"/>
          <w:szCs w:val="32"/>
        </w:rPr>
        <w:t>工伤保险待遇发放账户维护申请。本事项已嵌入工</w:t>
      </w:r>
    </w:p>
    <w:p>
      <w:pPr>
        <w:tabs>
          <w:tab w:val="left" w:pos="0"/>
        </w:tabs>
        <w:adjustRightInd w:val="0"/>
        <w:snapToGrid w:val="0"/>
        <w:spacing w:line="360" w:lineRule="auto"/>
        <w:outlineLvl w:val="3"/>
        <w:rPr>
          <w:rFonts w:ascii="仿宋" w:hAnsi="仿宋" w:eastAsia="仿宋" w:cs="仿宋"/>
          <w:sz w:val="32"/>
          <w:szCs w:val="32"/>
        </w:rPr>
      </w:pPr>
      <w:r>
        <w:rPr>
          <w:rFonts w:hint="eastAsia" w:ascii="仿宋" w:hAnsi="仿宋" w:eastAsia="仿宋" w:cs="仿宋"/>
          <w:sz w:val="32"/>
          <w:szCs w:val="32"/>
        </w:rPr>
        <w:t>亡供养亲属抚恤金申领，需提供账户发放信息，无需单独申请。</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十、申请接收</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（一）申请方式：经办地人力资源社会保障部门公布的社保业务大厅现场申请</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或通过</w:t>
      </w:r>
      <w:r>
        <w:rPr>
          <w:rFonts w:hint="eastAsia" w:ascii="仿宋" w:hAnsi="仿宋" w:eastAsia="仿宋" w:cs="仿宋"/>
          <w:color w:val="000000"/>
          <w:sz w:val="32"/>
          <w:szCs w:val="32"/>
        </w:rPr>
        <w:t>河南省人力资源和社会保障厅官网（人社服务快办专栏）</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河南</w:t>
      </w:r>
      <w:r>
        <w:rPr>
          <w:rFonts w:hint="eastAsia" w:ascii="仿宋" w:hAnsi="仿宋" w:eastAsia="仿宋" w:cs="仿宋"/>
          <w:color w:val="000000"/>
          <w:sz w:val="32"/>
          <w:szCs w:val="32"/>
          <w:lang w:val="en-US" w:eastAsia="zh-CN"/>
        </w:rPr>
        <w:t>省</w:t>
      </w:r>
      <w:r>
        <w:rPr>
          <w:rFonts w:hint="eastAsia" w:ascii="仿宋" w:hAnsi="仿宋" w:eastAsia="仿宋" w:cs="仿宋"/>
          <w:color w:val="000000"/>
          <w:sz w:val="32"/>
          <w:szCs w:val="32"/>
        </w:rPr>
        <w:t>社会保障网上服务平台</w:t>
      </w:r>
      <w:r>
        <w:rPr>
          <w:rFonts w:hint="eastAsia" w:ascii="仿宋" w:hAnsi="仿宋" w:eastAsia="仿宋" w:cs="仿宋"/>
          <w:color w:val="000000"/>
          <w:sz w:val="32"/>
          <w:szCs w:val="32"/>
          <w:lang w:val="en-US" w:eastAsia="zh-CN"/>
        </w:rPr>
        <w:t>申请</w:t>
      </w:r>
      <w:r>
        <w:rPr>
          <w:rFonts w:hint="eastAsia" w:ascii="仿宋" w:hAnsi="仿宋" w:eastAsia="仿宋" w:cs="仿宋"/>
          <w:color w:val="000000"/>
          <w:sz w:val="32"/>
          <w:szCs w:val="32"/>
        </w:rPr>
        <w:t>。</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（二）联系电话：经办地人力资源社会保障部门公布的联系电话。</w:t>
      </w:r>
    </w:p>
    <w:p>
      <w:pPr>
        <w:spacing w:line="480" w:lineRule="exact"/>
        <w:ind w:firstLine="640" w:firstLineChars="200"/>
        <w:rPr>
          <w:rFonts w:ascii="仿宋" w:hAnsi="仿宋" w:eastAsia="仿宋" w:cs="仿宋"/>
          <w:sz w:val="32"/>
          <w:szCs w:val="32"/>
        </w:rPr>
      </w:pPr>
      <w:r>
        <w:rPr>
          <w:rFonts w:hint="eastAsia" w:ascii="仿宋" w:hAnsi="仿宋" w:eastAsia="仿宋" w:cs="仿宋"/>
          <w:sz w:val="32"/>
          <w:szCs w:val="32"/>
        </w:rPr>
        <w:t>（三）办公地址：经办地人力资源社会保障部门公布的办公地址。</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十一、办理基本流程</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申请—受理—经办—审核—审批—办结—送达</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（一）申请人向</w:t>
      </w:r>
      <w:r>
        <w:rPr>
          <w:rFonts w:hint="eastAsia" w:ascii="仿宋" w:hAnsi="仿宋" w:eastAsia="仿宋" w:cs="仿宋"/>
          <w:color w:val="000000"/>
          <w:sz w:val="32"/>
          <w:szCs w:val="32"/>
        </w:rPr>
        <w:t>省、市、县（区）社会保险经办机构服务窗口</w:t>
      </w:r>
      <w:r>
        <w:rPr>
          <w:rFonts w:hint="eastAsia" w:ascii="仿宋" w:hAnsi="仿宋" w:eastAsia="仿宋" w:cs="仿宋"/>
          <w:sz w:val="32"/>
          <w:szCs w:val="32"/>
        </w:rPr>
        <w:t>现场提出申请并提交申请材料</w:t>
      </w:r>
      <w:r>
        <w:rPr>
          <w:rFonts w:hint="eastAsia" w:ascii="仿宋" w:hAnsi="仿宋" w:eastAsia="仿宋" w:cs="仿宋"/>
          <w:sz w:val="32"/>
          <w:szCs w:val="32"/>
          <w:lang w:eastAsia="zh-CN"/>
        </w:rPr>
        <w:t>，</w:t>
      </w:r>
      <w:r>
        <w:rPr>
          <w:rFonts w:hint="eastAsia" w:ascii="仿宋" w:hAnsi="仿宋" w:eastAsia="仿宋" w:cs="仿宋"/>
          <w:sz w:val="32"/>
          <w:szCs w:val="32"/>
        </w:rPr>
        <w:t>或通过河南省人力资源和社会保障厅官网（人社服务快办专栏）</w:t>
      </w:r>
      <w:r>
        <w:rPr>
          <w:rFonts w:hint="eastAsia" w:ascii="仿宋" w:hAnsi="仿宋" w:eastAsia="仿宋" w:cs="仿宋"/>
          <w:sz w:val="32"/>
          <w:szCs w:val="32"/>
          <w:lang w:val="en-US" w:eastAsia="zh-CN"/>
        </w:rPr>
        <w:t>、</w:t>
      </w:r>
      <w:r>
        <w:rPr>
          <w:rFonts w:hint="eastAsia" w:ascii="仿宋" w:hAnsi="仿宋" w:eastAsia="仿宋" w:cs="仿宋"/>
          <w:sz w:val="32"/>
          <w:szCs w:val="32"/>
        </w:rPr>
        <w:t>河南</w:t>
      </w:r>
      <w:r>
        <w:rPr>
          <w:rFonts w:hint="eastAsia" w:ascii="仿宋" w:hAnsi="仿宋" w:eastAsia="仿宋" w:cs="仿宋"/>
          <w:sz w:val="32"/>
          <w:szCs w:val="32"/>
          <w:lang w:val="en-US" w:eastAsia="zh-CN"/>
        </w:rPr>
        <w:t>省</w:t>
      </w:r>
      <w:r>
        <w:rPr>
          <w:rFonts w:hint="eastAsia" w:ascii="仿宋" w:hAnsi="仿宋" w:eastAsia="仿宋" w:cs="仿宋"/>
          <w:sz w:val="32"/>
          <w:szCs w:val="32"/>
        </w:rPr>
        <w:t>社会保障网上服务平台</w:t>
      </w:r>
      <w:r>
        <w:rPr>
          <w:rFonts w:hint="eastAsia" w:ascii="仿宋_GB2312" w:hAnsi="仿宋" w:eastAsia="仿宋_GB2312"/>
          <w:sz w:val="32"/>
          <w:szCs w:val="32"/>
        </w:rPr>
        <w:t>办理</w:t>
      </w:r>
      <w:r>
        <w:rPr>
          <w:rFonts w:hint="eastAsia" w:ascii="仿宋" w:hAnsi="仿宋" w:eastAsia="仿宋" w:cs="仿宋"/>
          <w:sz w:val="32"/>
          <w:szCs w:val="32"/>
        </w:rPr>
        <w:t>。</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color w:val="000000"/>
          <w:sz w:val="32"/>
          <w:szCs w:val="32"/>
        </w:rPr>
        <w:t>省、市、县（区）社会保险经办机构</w:t>
      </w:r>
      <w:r>
        <w:rPr>
          <w:rFonts w:hint="eastAsia" w:ascii="仿宋" w:hAnsi="仿宋" w:eastAsia="仿宋" w:cs="仿宋"/>
          <w:sz w:val="32"/>
          <w:szCs w:val="32"/>
        </w:rPr>
        <w:t>接受申请后，符合受理条件的将申请材料推送到联办部门或经办机构。</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（三）工伤经办机构收</w:t>
      </w:r>
      <w:r>
        <w:rPr>
          <w:rFonts w:hint="eastAsia" w:ascii="仿宋" w:hAnsi="仿宋" w:eastAsia="仿宋" w:cs="仿宋"/>
          <w:sz w:val="32"/>
          <w:szCs w:val="32"/>
          <w:lang w:eastAsia="zh-CN"/>
        </w:rPr>
        <w:t>到</w:t>
      </w:r>
      <w:r>
        <w:rPr>
          <w:rFonts w:hint="eastAsia" w:ascii="仿宋" w:hAnsi="仿宋" w:eastAsia="仿宋" w:cs="仿宋"/>
          <w:sz w:val="32"/>
          <w:szCs w:val="32"/>
        </w:rPr>
        <w:t>申请材料后自行在规定的承诺时限内办结，并将办结果实时反馈申请人。</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十二、办理方式</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社保业务大厅</w:t>
      </w:r>
      <w:r>
        <w:rPr>
          <w:rFonts w:hint="eastAsia" w:ascii="仿宋" w:hAnsi="仿宋" w:eastAsia="仿宋" w:cs="仿宋"/>
          <w:color w:val="000000"/>
          <w:sz w:val="32"/>
          <w:szCs w:val="32"/>
          <w:lang w:val="en-US" w:eastAsia="zh-CN"/>
        </w:rPr>
        <w:t>河南省社会保障</w:t>
      </w:r>
      <w:r>
        <w:rPr>
          <w:rFonts w:hint="eastAsia" w:ascii="仿宋" w:hAnsi="仿宋" w:eastAsia="仿宋" w:cs="仿宋"/>
          <w:color w:val="000000"/>
          <w:sz w:val="32"/>
          <w:szCs w:val="32"/>
        </w:rPr>
        <w:t>受理系统</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河南省人力资源和社会保障厅官网（人社服务快办专栏）或河南省社会保障网上服务平台办理</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十三、办结时限</w:t>
      </w:r>
    </w:p>
    <w:p>
      <w:pPr>
        <w:spacing w:line="360" w:lineRule="auto"/>
        <w:ind w:firstLine="640" w:firstLineChars="200"/>
        <w:rPr>
          <w:rFonts w:ascii="仿宋" w:hAnsi="仿宋" w:eastAsia="仿宋" w:cs="仿宋"/>
          <w:color w:val="FF0000"/>
          <w:sz w:val="32"/>
          <w:szCs w:val="32"/>
        </w:rPr>
      </w:pPr>
      <w:r>
        <w:rPr>
          <w:rFonts w:hint="eastAsia" w:ascii="仿宋" w:hAnsi="仿宋" w:eastAsia="仿宋" w:cs="仿宋"/>
          <w:sz w:val="32"/>
          <w:szCs w:val="32"/>
        </w:rPr>
        <w:t>限时办结：</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0个工作日</w:t>
      </w:r>
      <w:r>
        <w:rPr>
          <w:rFonts w:hint="eastAsia" w:ascii="仿宋" w:hAnsi="仿宋" w:eastAsia="仿宋" w:cs="仿宋"/>
          <w:color w:val="auto"/>
          <w:sz w:val="32"/>
          <w:szCs w:val="32"/>
          <w:lang w:eastAsia="zh-CN"/>
        </w:rPr>
        <w:t>，包含</w:t>
      </w:r>
      <w:r>
        <w:rPr>
          <w:rFonts w:hint="eastAsia" w:ascii="仿宋" w:hAnsi="仿宋" w:eastAsia="仿宋" w:cs="仿宋"/>
          <w:color w:val="auto"/>
          <w:sz w:val="32"/>
          <w:szCs w:val="32"/>
        </w:rPr>
        <w:t>工伤（亡）建档登记（含用人单位办理变更工伤登记）</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一次性工亡补助金、丧葬补助金申领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供养亲属资格审核、供养亲属抚恤金申领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 xml:space="preserve"> 工伤医疗（康复）费用申报、住院期间伙食补助费申领、经批准赴统筹地区外就医交通食宿费及市内交通补贴申报</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工伤保险待遇发放账户维护（关联事项）。</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十四、收费依据及标准</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无。</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十五、办理结果</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（一）《一次性工亡、丧葬补助金核定表》；</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（二）《供养亲属抚恤金核定表》</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（三）《工伤医疗（康复）费用申请表》。</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十六、结果送达</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工亡职工“打包一件事”各项待遇发放至单位或个人指定账户，申请人可以到工亡职工单位或社保经办机构业务大厅咨询窗口、社保大厅自助机、扫描业务受理回执单上的二维码、登录</w:t>
      </w:r>
      <w:r>
        <w:rPr>
          <w:rFonts w:hint="eastAsia" w:ascii="仿宋" w:hAnsi="仿宋" w:eastAsia="仿宋" w:cs="仿宋"/>
          <w:sz w:val="32"/>
          <w:szCs w:val="32"/>
          <w:lang w:val="en-US" w:eastAsia="zh-CN"/>
        </w:rPr>
        <w:t>或通过</w:t>
      </w:r>
      <w:r>
        <w:rPr>
          <w:rFonts w:hint="eastAsia" w:ascii="仿宋" w:hAnsi="仿宋" w:eastAsia="仿宋" w:cs="仿宋"/>
          <w:sz w:val="32"/>
          <w:szCs w:val="32"/>
        </w:rPr>
        <w:t>河南省人力资源和社会保障厅官网（人社服务快办专栏）</w:t>
      </w:r>
      <w:r>
        <w:rPr>
          <w:rFonts w:hint="eastAsia" w:ascii="仿宋" w:hAnsi="仿宋" w:eastAsia="仿宋" w:cs="仿宋"/>
          <w:sz w:val="32"/>
          <w:szCs w:val="32"/>
          <w:lang w:val="en-US" w:eastAsia="zh-CN"/>
        </w:rPr>
        <w:t>、</w:t>
      </w:r>
      <w:r>
        <w:rPr>
          <w:rFonts w:hint="eastAsia" w:ascii="仿宋" w:hAnsi="仿宋" w:eastAsia="仿宋" w:cs="仿宋"/>
          <w:sz w:val="32"/>
          <w:szCs w:val="32"/>
        </w:rPr>
        <w:t>河南省社会保障网上服务平台查询办理结果。</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十七、相对人权利和义务</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（一）工亡人员待遇“打包一件事”办理，应当如实向受理机构提交有关材料和反映真实情况，并对申请材料实质内容的真实性负责。</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w:t>
      </w:r>
      <w:r>
        <w:rPr>
          <w:rFonts w:hint="eastAsia" w:ascii="仿宋" w:hAnsi="仿宋" w:eastAsia="仿宋" w:cs="仿宋"/>
          <w:sz w:val="32"/>
          <w:szCs w:val="32"/>
        </w:rPr>
        <w:t>申请人可通过12333咨询热线、河南省人力资源和社会保障厅官网（人社服务快办专栏）、河南省社会保障网上服务平台，获取工亡人员待遇“打包一件事”</w:t>
      </w:r>
      <w:r>
        <w:rPr>
          <w:rFonts w:hint="eastAsia" w:ascii="仿宋" w:hAnsi="仿宋" w:eastAsia="仿宋" w:cs="仿宋"/>
          <w:color w:val="000000"/>
          <w:sz w:val="32"/>
          <w:szCs w:val="32"/>
        </w:rPr>
        <w:t>服务指南。</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（三）决定机构做出不予办理决定的，应当说明理由，并告知申请人相关解决途径。</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十八、咨询途径</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12333咨询热线或各级人力资源社会保障部门公布的专门咨询电话、社保经办机构业务大厅经办窗口等。</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十九、监督投诉渠道</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12333咨询热线或市（县、区）人力资源社会保障部门公布的专门监督投诉电话等。</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二十、办公地址和时间</w:t>
      </w:r>
    </w:p>
    <w:p>
      <w:pPr>
        <w:spacing w:line="360" w:lineRule="auto"/>
        <w:ind w:firstLine="640" w:firstLineChars="200"/>
        <w:rPr>
          <w:rFonts w:ascii="仿宋" w:hAnsi="仿宋" w:eastAsia="仿宋" w:cs="仿宋"/>
          <w:sz w:val="32"/>
          <w:szCs w:val="32"/>
        </w:rPr>
      </w:pPr>
      <w:r>
        <w:rPr>
          <w:rFonts w:hint="eastAsia" w:ascii="仿宋" w:hAnsi="仿宋" w:eastAsia="仿宋" w:cs="仿宋"/>
          <w:color w:val="000000"/>
          <w:sz w:val="32"/>
          <w:szCs w:val="32"/>
        </w:rPr>
        <w:t>（一）省、市、县（区）人力资源社会保障部门</w:t>
      </w:r>
      <w:r>
        <w:rPr>
          <w:rFonts w:hint="eastAsia" w:ascii="仿宋" w:hAnsi="仿宋" w:eastAsia="仿宋" w:cs="仿宋"/>
          <w:sz w:val="32"/>
          <w:szCs w:val="32"/>
        </w:rPr>
        <w:t>公布的具体办公地址；</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color w:val="000000"/>
          <w:sz w:val="32"/>
          <w:szCs w:val="32"/>
        </w:rPr>
        <w:t>省、市、县（区）人力资源社会保障部门</w:t>
      </w:r>
      <w:r>
        <w:rPr>
          <w:rFonts w:hint="eastAsia" w:ascii="仿宋" w:hAnsi="仿宋" w:eastAsia="仿宋" w:cs="仿宋"/>
          <w:sz w:val="32"/>
          <w:szCs w:val="32"/>
        </w:rPr>
        <w:t>公布的具体办公时间。</w:t>
      </w:r>
    </w:p>
    <w:p>
      <w:pPr>
        <w:spacing w:line="360" w:lineRule="auto"/>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二十一、办理进程和结果公开查询</w:t>
      </w:r>
    </w:p>
    <w:p>
      <w:pPr>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（一）省、市、县（区）人力资源社会保障部门公布的查询电话。</w:t>
      </w:r>
    </w:p>
    <w:p>
      <w:pPr>
        <w:spacing w:line="4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（二）省、市、县（区）社会保险业务经办大厅的咨询窗口、自助查询设备。</w:t>
      </w:r>
    </w:p>
    <w:p>
      <w:pPr>
        <w:spacing w:line="480" w:lineRule="exact"/>
        <w:ind w:firstLine="640" w:firstLineChars="200"/>
        <w:rPr>
          <w:rFonts w:hint="eastAsia" w:ascii="仿宋" w:hAnsi="仿宋" w:eastAsia="仿宋" w:cs="仿宋"/>
          <w:sz w:val="32"/>
          <w:szCs w:val="32"/>
        </w:rPr>
      </w:pPr>
      <w:r>
        <w:rPr>
          <w:rFonts w:hint="eastAsia" w:ascii="仿宋_GB2312" w:hAnsi="仿宋" w:eastAsia="仿宋_GB2312"/>
          <w:sz w:val="32"/>
          <w:szCs w:val="32"/>
        </w:rPr>
        <w:t>（三）</w:t>
      </w:r>
      <w:r>
        <w:rPr>
          <w:rFonts w:hint="eastAsia" w:ascii="仿宋" w:hAnsi="仿宋" w:eastAsia="仿宋" w:cs="仿宋"/>
          <w:sz w:val="32"/>
          <w:szCs w:val="32"/>
          <w:lang w:val="en-US" w:eastAsia="zh-CN"/>
        </w:rPr>
        <w:t>登录</w:t>
      </w:r>
      <w:r>
        <w:rPr>
          <w:rFonts w:hint="eastAsia" w:ascii="仿宋" w:hAnsi="仿宋" w:eastAsia="仿宋" w:cs="仿宋"/>
          <w:sz w:val="32"/>
          <w:szCs w:val="32"/>
        </w:rPr>
        <w:t>河南省人力资源和社会保障厅官网（人社服务快办专栏）</w:t>
      </w:r>
      <w:r>
        <w:rPr>
          <w:rFonts w:hint="eastAsia" w:ascii="仿宋" w:hAnsi="仿宋" w:eastAsia="仿宋" w:cs="仿宋"/>
          <w:sz w:val="32"/>
          <w:szCs w:val="32"/>
          <w:lang w:val="en-US" w:eastAsia="zh-CN"/>
        </w:rPr>
        <w:t>或</w:t>
      </w:r>
      <w:r>
        <w:rPr>
          <w:rFonts w:hint="eastAsia" w:ascii="仿宋" w:hAnsi="仿宋" w:eastAsia="仿宋" w:cs="仿宋"/>
          <w:sz w:val="32"/>
          <w:szCs w:val="32"/>
        </w:rPr>
        <w:t>河南</w:t>
      </w:r>
      <w:r>
        <w:rPr>
          <w:rFonts w:hint="eastAsia" w:ascii="仿宋" w:hAnsi="仿宋" w:eastAsia="仿宋" w:cs="仿宋"/>
          <w:sz w:val="32"/>
          <w:szCs w:val="32"/>
          <w:lang w:val="en-US" w:eastAsia="zh-CN"/>
        </w:rPr>
        <w:t>省</w:t>
      </w:r>
      <w:r>
        <w:rPr>
          <w:rFonts w:hint="eastAsia" w:ascii="仿宋" w:hAnsi="仿宋" w:eastAsia="仿宋" w:cs="仿宋"/>
          <w:sz w:val="32"/>
          <w:szCs w:val="32"/>
        </w:rPr>
        <w:t>社会保障网上服务平台</w:t>
      </w:r>
      <w:r>
        <w:rPr>
          <w:rFonts w:hint="eastAsia" w:ascii="仿宋" w:hAnsi="仿宋" w:eastAsia="仿宋" w:cs="仿宋"/>
          <w:sz w:val="32"/>
          <w:szCs w:val="32"/>
          <w:lang w:val="en-US" w:eastAsia="zh-CN"/>
        </w:rPr>
        <w:t>查询</w:t>
      </w:r>
      <w:r>
        <w:rPr>
          <w:rFonts w:hint="eastAsia" w:ascii="仿宋" w:hAnsi="仿宋" w:eastAsia="仿宋" w:cs="仿宋"/>
          <w:sz w:val="32"/>
          <w:szCs w:val="32"/>
        </w:rPr>
        <w:t>。</w:t>
      </w:r>
    </w:p>
    <w:p>
      <w:pPr>
        <w:spacing w:line="48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二十二、常见错误示例、常见问题解答</w:t>
      </w:r>
    </w:p>
    <w:p>
      <w:pPr>
        <w:spacing w:line="480" w:lineRule="exact"/>
        <w:ind w:firstLine="640" w:firstLineChars="200"/>
        <w:rPr>
          <w:rFonts w:hint="eastAsia" w:ascii="仿宋" w:hAnsi="仿宋" w:eastAsia="仿宋" w:cs="仿宋"/>
          <w:sz w:val="32"/>
          <w:szCs w:val="32"/>
        </w:rPr>
        <w:sectPr>
          <w:pgSz w:w="11906" w:h="16838"/>
          <w:pgMar w:top="1440" w:right="1474" w:bottom="1440" w:left="1587" w:header="851" w:footer="992" w:gutter="0"/>
          <w:cols w:space="720" w:num="1"/>
          <w:rtlGutter w:val="0"/>
          <w:docGrid w:type="lines" w:linePitch="315" w:charSpace="0"/>
        </w:sectPr>
      </w:pPr>
      <w:r>
        <w:rPr>
          <w:rFonts w:hint="eastAsia" w:ascii="仿宋" w:hAnsi="仿宋" w:eastAsia="仿宋" w:cs="仿宋"/>
          <w:sz w:val="32"/>
          <w:szCs w:val="32"/>
        </w:rPr>
        <w:t>无</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decorative"/>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7AD027"/>
    <w:multiLevelType w:val="singleLevel"/>
    <w:tmpl w:val="A27AD027"/>
    <w:lvl w:ilvl="0" w:tentative="0">
      <w:start w:val="2"/>
      <w:numFmt w:val="decimal"/>
      <w:suff w:val="nothing"/>
      <w:lvlText w:val="%1、"/>
      <w:lvlJc w:val="left"/>
    </w:lvl>
  </w:abstractNum>
  <w:abstractNum w:abstractNumId="1">
    <w:nsid w:val="0E0852EF"/>
    <w:multiLevelType w:val="singleLevel"/>
    <w:tmpl w:val="0E0852E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7E036A"/>
    <w:rsid w:val="35CC42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unhideWhenUsed/>
    <w:qFormat/>
    <w:uiPriority w:val="99"/>
  </w:style>
  <w:style w:type="paragraph" w:customStyle="1" w:styleId="3">
    <w:name w:val="Default"/>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李杰</cp:lastModifiedBy>
  <dcterms:modified xsi:type="dcterms:W3CDTF">2021-03-08T03:40:14Z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